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26" w:rsidRPr="009359D2" w:rsidRDefault="00845526" w:rsidP="0084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59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46FEA">
        <w:rPr>
          <w:rFonts w:ascii="Times New Roman" w:hAnsi="Times New Roman" w:cs="Times New Roman"/>
          <w:b/>
          <w:sz w:val="24"/>
          <w:szCs w:val="24"/>
        </w:rPr>
        <w:t>16</w:t>
      </w:r>
    </w:p>
    <w:p w:rsidR="00845526" w:rsidRPr="009359D2" w:rsidRDefault="00845526" w:rsidP="0084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 заседания  Технического Комитета № 140</w:t>
      </w:r>
    </w:p>
    <w:p w:rsidR="00845526" w:rsidRPr="009359D2" w:rsidRDefault="00845526" w:rsidP="00845526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ab/>
      </w:r>
    </w:p>
    <w:p w:rsidR="00845526" w:rsidRDefault="00845526" w:rsidP="00845526">
      <w:pPr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359D2">
        <w:rPr>
          <w:rFonts w:ascii="Times New Roman" w:hAnsi="Times New Roman" w:cs="Times New Roman"/>
          <w:b/>
          <w:sz w:val="24"/>
          <w:szCs w:val="24"/>
        </w:rPr>
        <w:t>-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35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D1EB1">
        <w:rPr>
          <w:rFonts w:ascii="Times New Roman" w:hAnsi="Times New Roman" w:cs="Times New Roman"/>
          <w:b/>
          <w:sz w:val="24"/>
          <w:szCs w:val="24"/>
        </w:rPr>
        <w:t>05 ок</w:t>
      </w:r>
      <w:r>
        <w:rPr>
          <w:rFonts w:ascii="Times New Roman" w:hAnsi="Times New Roman" w:cs="Times New Roman"/>
          <w:b/>
          <w:sz w:val="24"/>
          <w:szCs w:val="24"/>
        </w:rPr>
        <w:t>тября 2022</w:t>
      </w:r>
      <w:r w:rsidRPr="009359D2">
        <w:rPr>
          <w:rFonts w:ascii="Times New Roman" w:hAnsi="Times New Roman" w:cs="Times New Roman"/>
          <w:b/>
          <w:sz w:val="24"/>
          <w:szCs w:val="24"/>
        </w:rPr>
        <w:t>г.</w:t>
      </w:r>
    </w:p>
    <w:p w:rsidR="00845526" w:rsidRPr="009359D2" w:rsidRDefault="00845526" w:rsidP="00845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45526" w:rsidRDefault="00845526" w:rsidP="00845526">
      <w:pPr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</w:t>
      </w:r>
      <w:r>
        <w:rPr>
          <w:rFonts w:ascii="Times New Roman" w:hAnsi="Times New Roman" w:cs="Times New Roman"/>
          <w:sz w:val="24"/>
          <w:szCs w:val="24"/>
        </w:rPr>
        <w:t xml:space="preserve">сов Ф.А. АПК,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АПК,</w:t>
      </w:r>
      <w:r w:rsidRPr="009F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</w:t>
      </w:r>
      <w:proofErr w:type="gramStart"/>
      <w:r w:rsidRPr="009F5CBA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епринцева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845526" w:rsidRPr="005F3FA5" w:rsidRDefault="00845526" w:rsidP="00845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45526" w:rsidRPr="001D1EB1" w:rsidRDefault="00845526" w:rsidP="00845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1D1EB1">
        <w:rPr>
          <w:rFonts w:ascii="Times New Roman" w:hAnsi="Times New Roman" w:cs="Times New Roman"/>
          <w:sz w:val="24"/>
          <w:szCs w:val="24"/>
        </w:rPr>
        <w:t xml:space="preserve">внесения поправки в ГОСТ </w:t>
      </w:r>
      <w:proofErr w:type="gramStart"/>
      <w:r w:rsidR="001D1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D1EB1">
        <w:rPr>
          <w:rFonts w:ascii="Times New Roman" w:hAnsi="Times New Roman" w:cs="Times New Roman"/>
          <w:sz w:val="24"/>
          <w:szCs w:val="24"/>
        </w:rPr>
        <w:t xml:space="preserve"> 55453-2022 Корма для непродуктивных </w:t>
      </w:r>
      <w:r w:rsidR="001D1EB1" w:rsidRPr="001D1EB1">
        <w:rPr>
          <w:rFonts w:ascii="Times New Roman" w:hAnsi="Times New Roman" w:cs="Times New Roman"/>
          <w:sz w:val="24"/>
          <w:szCs w:val="24"/>
        </w:rPr>
        <w:t>животных. Общие технические условия.</w:t>
      </w:r>
    </w:p>
    <w:p w:rsidR="00C91A06" w:rsidRPr="009A3AE4" w:rsidRDefault="00845526" w:rsidP="009A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Решили:</w:t>
      </w:r>
    </w:p>
    <w:p w:rsidR="00C91A06" w:rsidRPr="001D1EB1" w:rsidRDefault="0084552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</w:t>
      </w:r>
      <w:r w:rsidR="00C91A06"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огласовать </w:t>
      </w:r>
      <w:r w:rsidR="001D1EB1"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внесение поправки в ГОСТ </w:t>
      </w:r>
      <w:r w:rsidR="00C91A06"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итогам обсуждения;</w:t>
      </w:r>
    </w:p>
    <w:p w:rsidR="001D1EB1" w:rsidRPr="001D1EB1" w:rsidRDefault="00C91A0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-ТК 140 подготовить</w:t>
      </w:r>
      <w:r w:rsidR="001D1EB1"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обоснование внесения поправок</w:t>
      </w:r>
    </w:p>
    <w:tbl>
      <w:tblPr>
        <w:tblW w:w="3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349"/>
        <w:gridCol w:w="1450"/>
        <w:gridCol w:w="1880"/>
      </w:tblGrid>
      <w:tr w:rsidR="001D1EB1" w:rsidRPr="001D1EB1" w:rsidTr="001D1EB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5.2.2, шаг 3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= ВЭ (из шага 2)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= ВЭ (из шага 1)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Опечатка. Необходимо привести в соответствие c логикой расчета (в шаге 2 нет показателя ВЭ).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5.2.4. (окончание таблицы 2), четвертая строка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консервной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консервной группы</w:t>
            </w:r>
            <w:proofErr w:type="gram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Опечатка, необходимо указать конкретную консервную группу.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Таблица 3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показателя «Лизин, </w:t>
            </w:r>
            <w:proofErr w:type="gram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 «для роста и размножения до 14 недель»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0, 88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0,88, но не более 2,8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нормами Европейской федерации производителей кормов для домашних животных от 2021 года </w:t>
            </w:r>
            <w:hyperlink r:id="rId6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 «для роста* и размножения**после 14 недель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0,7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0,7, но не более 2,8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соответствии с нормами Европейской федерации 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производителей кормов для домашних животных от 2021 года </w:t>
            </w:r>
            <w:hyperlink r:id="rId7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Наименование показателя «Метионин, </w:t>
            </w:r>
            <w:proofErr w:type="gram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 «для роста и размножения до 14 недель»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0,35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2,8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0,35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нормами Европейской федерации производителей кормов для домашних животных от 2021 года </w:t>
            </w:r>
            <w:hyperlink r:id="rId8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 «для роста* и размножения**после 14 недель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0,26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2,8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0,26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нормами Европейской федерации производителей кормов для домашних животных от 2021 года </w:t>
            </w:r>
            <w:hyperlink r:id="rId9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 « для поддержания организма взрослого животного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0,4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нормами Европейской федерации производителей кормов для домашних животных от 2021 года </w:t>
            </w:r>
            <w:hyperlink r:id="rId10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Соотношение кальция/фосфора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«для роста* и размножения»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1/1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1,5*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1/1 до 1,5/1*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нормами Европейской федерации производителей кормов для домашних животных от 2021 года </w:t>
            </w:r>
            <w:hyperlink r:id="rId11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 «для роста и размножения до 14 недель»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1/1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1,6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1/1 до 1,6/1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соответствии с нормами Европейской федерации производителей кормов для 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домашних животных от 2021 года </w:t>
            </w:r>
            <w:hyperlink r:id="rId12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Графа «для роста* и размножения**после 14 недель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1/1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1,8*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1,6**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1/1 до 1,8/1* или 1,6/1**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нормами Европейской федерации производителей кормов для домашних животных от 2021 года </w:t>
            </w:r>
            <w:hyperlink r:id="rId13" w:tgtFrame="_blank" w:history="1">
              <w:r w:rsidRPr="001D1EB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(FEDIAF)</w:t>
              </w:r>
            </w:hyperlink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Хлорид, </w:t>
            </w:r>
            <w:proofErr w:type="gram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Графа «для роста* и размножения**после 14 недель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0,3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0,33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Устранить редакционную ошибку: привести в соответствие с финальной редакцией, отправленной 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перерасчете на </w:t>
            </w:r>
            <w:proofErr w:type="gram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сухое</w:t>
            </w:r>
            <w:proofErr w:type="gram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перерасчете на сухое вещество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Опечатка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Таблица 5.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Подзаголовок «диапазон» для показателя №1 «Сырой протеин»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≥ 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&gt;20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Устранить редакционную ошибку: привести в соответствие с финальной редакцией, отправленной 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показателя №6 «Влажность»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≥40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&gt;40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Устранить редакционную ошибку: привести в соответствие с финальной редакцией, отправленной 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для показателя №10 «Витамин</w:t>
            </w:r>
            <w:proofErr w:type="gram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&lt;4000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≤4000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Устранить редакционную ошибку: привести в соответствие с финальной редакцией, отправленной 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показателя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«Кальций и фосфор»:</w:t>
            </w:r>
          </w:p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&gt;16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≥16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Устранить редакционную ошибку: привести в соответствие с финальной редакцией, отправленной 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12–16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 – &lt;16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Устранить редакционную ошибку: привести в соответствие с финальной редакцией, отправленной 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6–12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 – &lt;12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Устранить редакционную ошибку: привести в соответствие с финальной редакцией, отправленной 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№16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1–6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– &lt;6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Устранить редакционную ошибку: привести в соответствие с финальной редакцией, отправленной на редактирование по итогам голосования внутри ТК 140.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7.14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ГОСТ Р ИСО 27085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ИСО 27085, ГОСТ 32250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ГОСТ 32250 (ISO 7485:2000) «Корма, комбикорма. Метод определения содержания калия и натрия с применением пламенно-эмиссионной спектрометрии» применим также и для калия, необходимо дополнить п.7.14.</w:t>
            </w:r>
          </w:p>
        </w:tc>
      </w:tr>
      <w:tr w:rsidR="001D1EB1" w:rsidRPr="001D1EB1" w:rsidTr="001D1E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7.30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ГОСТ 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ISO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TS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17764, ГОСТ 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ISO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TS</w:t>
            </w: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17764,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ГОСТ ISO/TS 17764-1, ГОСТ ISO/TS 17764-2,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B1" w:rsidRPr="001D1EB1" w:rsidRDefault="001D1EB1" w:rsidP="001D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1E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Устранить редакционную ошибку: дополнить нумерацию приведенных ГОСТов</w:t>
            </w:r>
          </w:p>
        </w:tc>
      </w:tr>
    </w:tbl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Отдельно в  части поправки по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шига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-токсину: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Данный тип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coli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релевантен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только для влажных кормов (кроме консервированных), поскольку погибает при термообработке в процессе производства сухих и консервированных кормов.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Приводим информацию (публикации), отражающие температурную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инактивацию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риск STEC (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шигатоксин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-образующих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E.coli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в контексте типовых кормов для домашних животных (во вложении несколько релевантных публикаций, но их больше). Более того </w:t>
      </w:r>
      <w:proofErr w:type="gram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</w:t>
      </w:r>
      <w:proofErr w:type="gram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 были случаи вспышек среди людей-хозяев домашних животных, ассоциированных с сырыми кормами не подвергавшимися никакому воздействию, обеспечивающему снижение риска патогенной микрофлоры.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D1EB1" w:rsidRPr="001D1EB1" w:rsidRDefault="001D1EB1" w:rsidP="001D1EB1">
      <w:pPr>
        <w:numPr>
          <w:ilvl w:val="0"/>
          <w:numId w:val="2"/>
        </w:numPr>
        <w:shd w:val="clear" w:color="auto" w:fill="FFFFFF"/>
        <w:spacing w:after="160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Корма сухие - риск низкий/отсутствует. </w:t>
      </w:r>
      <w:proofErr w:type="gram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Отсутствует</w:t>
      </w:r>
      <w:proofErr w:type="gram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крайней мере для сухих кормов, изготавливаемых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экструдированием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 давлением и высокой температуре.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температуры выше 90,9</w:t>
      </w:r>
      <w:proofErr w:type="gram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°С</w:t>
      </w:r>
      <w:proofErr w:type="gram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обеспечивают снижение STEC на более чем 5 порядков (5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log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reduction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в кормах с низкой активностью воды. См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моменты</w:t>
      </w:r>
      <w:proofErr w:type="gram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выделенные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тексте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‘Heat inactivation of Shiga toxin-producing Escherichia coli in a selection of low moisture foods_.pdf.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Окончательная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редакция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статьи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опубликована</w:t>
      </w: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:rsidR="001D1EB1" w:rsidRPr="001D1EB1" w:rsidRDefault="00F46FEA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hyperlink r:id="rId14" w:tgtFrame="_blank" w:history="1">
        <w:r w:rsidR="001D1EB1" w:rsidRPr="001D1EB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 xml:space="preserve">Heat inactivation of Shiga toxin-producing Escherichia coli in a selection of low moisture foods - </w:t>
        </w:r>
        <w:proofErr w:type="spellStart"/>
        <w:r w:rsidR="001D1EB1" w:rsidRPr="001D1EB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ScienceDirect</w:t>
        </w:r>
        <w:proofErr w:type="spellEnd"/>
      </w:hyperlink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1D1EB1" w:rsidRPr="001D1EB1" w:rsidRDefault="001D1EB1" w:rsidP="001D1EB1">
      <w:pPr>
        <w:numPr>
          <w:ilvl w:val="0"/>
          <w:numId w:val="3"/>
        </w:numPr>
        <w:shd w:val="clear" w:color="auto" w:fill="FFFFFF"/>
        <w:spacing w:after="160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Корма</w:t>
      </w:r>
      <w:proofErr w:type="gram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консервированные стерилизованные - риск отсутствует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Стерилизация  ориентирована на уничтожение термостойких спор бактерий (в первую очередь спор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botulinum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иных спорообразующих анаэробов). При этом </w:t>
      </w:r>
      <w:proofErr w:type="spellStart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неспорообразующие</w:t>
      </w:r>
      <w:proofErr w:type="spellEnd"/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микроорганизмы и вегетативные клетки спорообразующей микрофлоры гарантировано гибнут.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D1EB1" w:rsidRPr="001D1EB1" w:rsidRDefault="001D1EB1" w:rsidP="001D1EB1">
      <w:pPr>
        <w:numPr>
          <w:ilvl w:val="0"/>
          <w:numId w:val="4"/>
        </w:numPr>
        <w:shd w:val="clear" w:color="auto" w:fill="FFFFFF"/>
        <w:spacing w:after="160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Корма влажные сырые - риск высокий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См. статьи: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 cluster of Shiga Toxin-producing Escherichia coli O157H7 highlights raw pet food as an emerging potential source of infection in humans.pdf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1D1EB1" w:rsidRPr="001D1EB1" w:rsidRDefault="001D1EB1" w:rsidP="001D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High Occurrence of Shiga Toxin-Producing Escherichia coli in Raw Meat-Based Diets for Companion Animals.pdf   »</w:t>
      </w:r>
    </w:p>
    <w:p w:rsidR="001D1EB1" w:rsidRPr="009A3AE4" w:rsidRDefault="001D1EB1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91A06" w:rsidRPr="001D1EB1" w:rsidRDefault="001D1EB1" w:rsidP="001D1EB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1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Направить проект поправки на согласование в РСТ.</w:t>
      </w:r>
    </w:p>
    <w:p w:rsidR="00C91A06" w:rsidRPr="00845526" w:rsidRDefault="00C91A0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3DE5" w:rsidRDefault="00D63DE5" w:rsidP="00845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526" w:rsidRDefault="00845526" w:rsidP="00845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526" w:rsidRPr="005F3FA5" w:rsidRDefault="00845526" w:rsidP="0084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ТК140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     </w:t>
      </w:r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Т.И.Колчанова</w:t>
      </w:r>
      <w:proofErr w:type="spellEnd"/>
    </w:p>
    <w:p w:rsidR="00845526" w:rsidRPr="005F3FA5" w:rsidRDefault="00845526" w:rsidP="0084552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45526" w:rsidRPr="005F3FA5" w:rsidRDefault="00845526" w:rsidP="0084552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45526" w:rsidRPr="005F3FA5" w:rsidRDefault="00845526" w:rsidP="00845526">
      <w:pPr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секретарь ТК 140: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B06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</w:t>
      </w:r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Т.Ю.Шевчук</w:t>
      </w:r>
      <w:proofErr w:type="spellEnd"/>
    </w:p>
    <w:bookmarkEnd w:id="0"/>
    <w:p w:rsidR="00845526" w:rsidRPr="00845526" w:rsidRDefault="00845526" w:rsidP="00845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45526" w:rsidRPr="0084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3D"/>
    <w:multiLevelType w:val="hybridMultilevel"/>
    <w:tmpl w:val="388E0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6F461B"/>
    <w:multiLevelType w:val="multilevel"/>
    <w:tmpl w:val="6B5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A3A7A"/>
    <w:multiLevelType w:val="multilevel"/>
    <w:tmpl w:val="2DA44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D2999"/>
    <w:multiLevelType w:val="multilevel"/>
    <w:tmpl w:val="38D22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70"/>
    <w:rsid w:val="001D1EB1"/>
    <w:rsid w:val="00845526"/>
    <w:rsid w:val="009A3AE4"/>
    <w:rsid w:val="00C05470"/>
    <w:rsid w:val="00C91A06"/>
    <w:rsid w:val="00D63DE5"/>
    <w:rsid w:val="00E27E64"/>
    <w:rsid w:val="00EB06BC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EB1"/>
    <w:rPr>
      <w:color w:val="0000FF"/>
      <w:u w:val="single"/>
    </w:rPr>
  </w:style>
  <w:style w:type="character" w:customStyle="1" w:styleId="m-2682995450403351917a">
    <w:name w:val="m_-2682995450403351917a"/>
    <w:basedOn w:val="a0"/>
    <w:rsid w:val="001D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EB1"/>
    <w:rPr>
      <w:color w:val="0000FF"/>
      <w:u w:val="single"/>
    </w:rPr>
  </w:style>
  <w:style w:type="character" w:customStyle="1" w:styleId="m-2682995450403351917a">
    <w:name w:val="m_-2682995450403351917a"/>
    <w:basedOn w:val="a0"/>
    <w:rsid w:val="001D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petfood.org/wp-content/uploads/2022/03/Updated-Nutritional-Guidelines.pdf" TargetMode="External"/><Relationship Id="rId13" Type="http://schemas.openxmlformats.org/officeDocument/2006/relationships/hyperlink" Target="https://europeanpetfood.org/wp-content/uploads/2022/03/Updated-Nutritional-Guidelin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opeanpetfood.org/wp-content/uploads/2022/03/Updated-Nutritional-Guidelines.pdf" TargetMode="External"/><Relationship Id="rId12" Type="http://schemas.openxmlformats.org/officeDocument/2006/relationships/hyperlink" Target="https://europeanpetfood.org/wp-content/uploads/2022/03/Updated-Nutritional-Guidelin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opeanpetfood.org/wp-content/uploads/2022/03/Updated-Nutritional-Guidelines.pdf" TargetMode="External"/><Relationship Id="rId11" Type="http://schemas.openxmlformats.org/officeDocument/2006/relationships/hyperlink" Target="https://europeanpetfood.org/wp-content/uploads/2022/03/Updated-Nutritional-Guidelin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eanpetfood.org/wp-content/uploads/2022/03/Updated-Nutritional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eanpetfood.org/wp-content/uploads/2022/03/Updated-Nutritional-Guidelines.pdf" TargetMode="External"/><Relationship Id="rId14" Type="http://schemas.openxmlformats.org/officeDocument/2006/relationships/hyperlink" Target="https://www.sciencedirect.com/science/article/abs/pii/S0956713517304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Valio</dc:creator>
  <cp:lastModifiedBy>Valio</cp:lastModifiedBy>
  <cp:revision>6</cp:revision>
  <dcterms:created xsi:type="dcterms:W3CDTF">2022-10-11T13:35:00Z</dcterms:created>
  <dcterms:modified xsi:type="dcterms:W3CDTF">2023-01-23T09:37:00Z</dcterms:modified>
</cp:coreProperties>
</file>